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B425C2" w:rsidRPr="00C456EE" w:rsidTr="00340C9E">
        <w:tc>
          <w:tcPr>
            <w:tcW w:w="5351"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340C9E" w:rsidRDefault="002431B4" w:rsidP="002431B4">
            <w:pPr>
              <w:rPr>
                <w:i/>
                <w:color w:val="FF0000"/>
                <w:sz w:val="28"/>
              </w:rPr>
            </w:pPr>
            <w:r>
              <w:rPr>
                <w:sz w:val="28"/>
              </w:rPr>
              <w:t xml:space="preserve">(в ред. </w:t>
            </w:r>
            <w:r w:rsidRPr="0080538B">
              <w:rPr>
                <w:i/>
                <w:color w:val="FF0000"/>
                <w:sz w:val="28"/>
              </w:rPr>
              <w:t xml:space="preserve">Дополнительного соглашения </w:t>
            </w:r>
            <w:r w:rsidR="00340C9E">
              <w:rPr>
                <w:i/>
                <w:color w:val="FF0000"/>
                <w:sz w:val="28"/>
              </w:rPr>
              <w:br/>
            </w:r>
            <w:r w:rsidRPr="0080538B">
              <w:rPr>
                <w:i/>
                <w:color w:val="FF0000"/>
                <w:sz w:val="28"/>
              </w:rPr>
              <w:t>№ 1 от 17.03.2025</w:t>
            </w:r>
            <w:r w:rsidR="00340C9E">
              <w:rPr>
                <w:i/>
                <w:color w:val="FF0000"/>
                <w:sz w:val="28"/>
              </w:rPr>
              <w:t>;</w:t>
            </w:r>
          </w:p>
          <w:p w:rsidR="006522E4" w:rsidRDefault="00340C9E" w:rsidP="002431B4">
            <w:pPr>
              <w:rPr>
                <w:i/>
                <w:color w:val="943634" w:themeColor="accent2" w:themeShade="BF"/>
                <w:sz w:val="28"/>
              </w:rPr>
            </w:pPr>
            <w:r>
              <w:rPr>
                <w:i/>
                <w:color w:val="943634" w:themeColor="accent2" w:themeShade="BF"/>
                <w:sz w:val="28"/>
              </w:rPr>
              <w:t xml:space="preserve">Дополнительного соглашения </w:t>
            </w:r>
            <w:r>
              <w:rPr>
                <w:i/>
                <w:color w:val="943634" w:themeColor="accent2" w:themeShade="BF"/>
                <w:sz w:val="28"/>
              </w:rPr>
              <w:br/>
              <w:t>№ 5 от 22.07.2025</w:t>
            </w:r>
            <w:r w:rsidR="006522E4">
              <w:rPr>
                <w:i/>
                <w:color w:val="943634" w:themeColor="accent2" w:themeShade="BF"/>
                <w:sz w:val="28"/>
              </w:rPr>
              <w:t>;</w:t>
            </w:r>
          </w:p>
          <w:p w:rsidR="004A1B84" w:rsidRDefault="006522E4" w:rsidP="002431B4">
            <w:pPr>
              <w:rPr>
                <w:i/>
                <w:color w:val="E36C0A" w:themeColor="accent6" w:themeShade="BF"/>
                <w:sz w:val="28"/>
              </w:rPr>
            </w:pPr>
            <w:r>
              <w:rPr>
                <w:i/>
                <w:color w:val="E36C0A" w:themeColor="accent6" w:themeShade="BF"/>
                <w:sz w:val="28"/>
              </w:rPr>
              <w:t xml:space="preserve">Дополнительного соглашения </w:t>
            </w:r>
            <w:r>
              <w:rPr>
                <w:i/>
                <w:color w:val="E36C0A" w:themeColor="accent6" w:themeShade="BF"/>
                <w:sz w:val="28"/>
              </w:rPr>
              <w:br/>
              <w:t>№ 6 от 07.08.2025</w:t>
            </w:r>
            <w:r w:rsidR="004A1B84">
              <w:rPr>
                <w:i/>
                <w:color w:val="E36C0A" w:themeColor="accent6" w:themeShade="BF"/>
                <w:sz w:val="28"/>
              </w:rPr>
              <w:t>;</w:t>
            </w:r>
          </w:p>
          <w:p w:rsidR="002431B4" w:rsidRPr="006522E4" w:rsidRDefault="004A1B84" w:rsidP="002431B4">
            <w:pPr>
              <w:rPr>
                <w:i/>
                <w:color w:val="943634" w:themeColor="accent2" w:themeShade="BF"/>
                <w:sz w:val="28"/>
              </w:rPr>
            </w:pPr>
            <w:proofErr w:type="gramStart"/>
            <w:r w:rsidRPr="004A1B84">
              <w:rPr>
                <w:i/>
                <w:color w:val="CC0099"/>
                <w:sz w:val="28"/>
              </w:rPr>
              <w:t xml:space="preserve">Дополнительного соглашения </w:t>
            </w:r>
            <w:r w:rsidRPr="004A1B84">
              <w:rPr>
                <w:i/>
                <w:color w:val="CC0099"/>
                <w:sz w:val="28"/>
              </w:rPr>
              <w:br/>
              <w:t>№ 7</w:t>
            </w:r>
            <w:r w:rsidRPr="004A1B84">
              <w:rPr>
                <w:i/>
                <w:color w:val="CC0099"/>
                <w:sz w:val="28"/>
              </w:rPr>
              <w:t xml:space="preserve"> от </w:t>
            </w:r>
            <w:r w:rsidRPr="004A1B84">
              <w:rPr>
                <w:i/>
                <w:color w:val="CC0099"/>
                <w:sz w:val="28"/>
              </w:rPr>
              <w:t>01</w:t>
            </w:r>
            <w:r w:rsidRPr="004A1B84">
              <w:rPr>
                <w:i/>
                <w:color w:val="CC0099"/>
                <w:sz w:val="28"/>
              </w:rPr>
              <w:t>.0</w:t>
            </w:r>
            <w:r w:rsidRPr="004A1B84">
              <w:rPr>
                <w:i/>
                <w:color w:val="CC0099"/>
                <w:sz w:val="28"/>
              </w:rPr>
              <w:t>9</w:t>
            </w:r>
            <w:r w:rsidRPr="004A1B84">
              <w:rPr>
                <w:i/>
                <w:color w:val="CC0099"/>
                <w:sz w:val="28"/>
              </w:rPr>
              <w:t>.2025</w:t>
            </w:r>
            <w:r w:rsidR="002431B4" w:rsidRPr="00EF282C">
              <w:rPr>
                <w:sz w:val="28"/>
              </w:rPr>
              <w:t>)</w:t>
            </w:r>
            <w:proofErr w:type="gramEnd"/>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 xml:space="preserve">Расчет стоимости законченного случая лечения, включенного в </w:t>
      </w:r>
      <w:r w:rsidRPr="00C456EE">
        <w:rPr>
          <w:rFonts w:ascii="Times New Roman" w:hAnsi="Times New Roman" w:cs="Times New Roman"/>
        </w:rPr>
        <w:lastRenderedPageBreak/>
        <w:t>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994CE3"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994CE3"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994CE3"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994CE3"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994CE3"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994CE3"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994CE3"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t>по письменному обращению застрахованного</w:t>
      </w:r>
      <w:r w:rsidR="003A4C6C">
        <w:rPr>
          <w:sz w:val="28"/>
          <w:szCs w:val="28"/>
        </w:rPr>
        <w:t xml:space="preserve">, либо </w:t>
      </w:r>
      <w:r w:rsidR="006C1075" w:rsidRPr="00C456EE">
        <w:rPr>
          <w:sz w:val="28"/>
          <w:szCs w:val="28"/>
        </w:rPr>
        <w:t xml:space="preserve">застрахованное на территории Еврейской автономной области население, имеющее </w:t>
      </w:r>
      <w:r w:rsidR="006C1075" w:rsidRPr="00C456EE">
        <w:rPr>
          <w:sz w:val="28"/>
          <w:szCs w:val="28"/>
        </w:rPr>
        <w:lastRenderedPageBreak/>
        <w:t>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994CE3"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994CE3"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994CE3"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994CE3"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994CE3"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w:t>
      </w:r>
      <w:r w:rsidR="005477B4">
        <w:rPr>
          <w:sz w:val="28"/>
          <w:szCs w:val="28"/>
        </w:rPr>
        <w:lastRenderedPageBreak/>
        <w:t xml:space="preserve">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994CE3"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994CE3"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994CE3"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994CE3"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994CE3"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994CE3"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994CE3"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994CE3"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994CE3"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994CE3"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994CE3"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994CE3"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994CE3"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994CE3"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994CE3"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994CE3"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994CE3"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994CE3"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994CE3"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994CE3"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994CE3"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994CE3"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994CE3"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994CE3"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994CE3"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994CE3"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994CE3"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994CE3"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994CE3"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340C9E" w:rsidRDefault="00340C9E" w:rsidP="00340C9E">
      <w:pPr>
        <w:ind w:firstLine="709"/>
        <w:jc w:val="both"/>
        <w:rPr>
          <w:sz w:val="28"/>
        </w:rPr>
      </w:pPr>
      <w:proofErr w:type="gramStart"/>
      <w:r w:rsidRPr="00340C9E">
        <w:rPr>
          <w:i/>
          <w:color w:val="943634" w:themeColor="accent2" w:themeShade="BF"/>
          <w:sz w:val="28"/>
          <w:szCs w:val="28"/>
        </w:rPr>
        <w:t>Размер базовой ставки (размер средней стоимости законченного случая лечения, включенного в КСГ) в стационарных условиях и в условиях дневного стационара без учета коэффициента дифференциации устанавливается не ниже минимальных размеров базовых ставок, используемых при формировании перечня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(17 622,0 рублей) и</w:t>
      </w:r>
      <w:proofErr w:type="gramEnd"/>
      <w:r w:rsidRPr="00340C9E">
        <w:rPr>
          <w:i/>
          <w:color w:val="943634" w:themeColor="accent2" w:themeShade="BF"/>
          <w:sz w:val="28"/>
          <w:szCs w:val="28"/>
        </w:rPr>
        <w:t xml:space="preserve"> специализированной медицинской помощи (за исключением высокотехнологичной медицинской помощи) в стационарных </w:t>
      </w:r>
      <w:r w:rsidRPr="00340C9E">
        <w:rPr>
          <w:i/>
          <w:color w:val="943634" w:themeColor="accent2" w:themeShade="BF"/>
          <w:sz w:val="28"/>
          <w:szCs w:val="28"/>
        </w:rPr>
        <w:br/>
        <w:t>условиях (32 120,12 рублей), установленных базовой программой обязательного медицинского страхования, утвержденной в составе программы государственных гарантий бесплатного оказания</w:t>
      </w:r>
      <w:r>
        <w:rPr>
          <w:i/>
          <w:color w:val="943634" w:themeColor="accent2" w:themeShade="BF"/>
          <w:sz w:val="28"/>
          <w:szCs w:val="28"/>
        </w:rPr>
        <w:t xml:space="preserve"> гражданам медицинской помощи</w:t>
      </w:r>
      <w:proofErr w:type="gramStart"/>
      <w:r>
        <w:rPr>
          <w:i/>
          <w:color w:val="943634" w:themeColor="accent2" w:themeShade="BF"/>
          <w:sz w:val="28"/>
          <w:szCs w:val="28"/>
        </w:rPr>
        <w:t>.</w:t>
      </w:r>
      <w:proofErr w:type="gramEnd"/>
      <w:r>
        <w:rPr>
          <w:i/>
          <w:color w:val="943634" w:themeColor="accent2" w:themeShade="BF"/>
          <w:sz w:val="28"/>
          <w:szCs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w:t>
      </w:r>
      <w:r w:rsidRPr="0044553D">
        <w:rPr>
          <w:rFonts w:ascii="Times New Roman" w:hAnsi="Times New Roman"/>
          <w:color w:val="000000" w:themeColor="text1"/>
          <w:sz w:val="28"/>
          <w:szCs w:val="28"/>
          <w:lang w:val="ru-RU" w:eastAsia="ar-SA"/>
        </w:rPr>
        <w:lastRenderedPageBreak/>
        <w:t>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994CE3"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994CE3"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994CE3"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994CE3"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994CE3"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994CE3"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994CE3"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994CE3"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994CE3"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994CE3"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994CE3"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994CE3"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lastRenderedPageBreak/>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994CE3"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994CE3"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994CE3"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994CE3"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994CE3"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994CE3"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994CE3"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994CE3"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lastRenderedPageBreak/>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lastRenderedPageBreak/>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994CE3"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994CE3"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994CE3"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994CE3"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994CE3"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994CE3"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994CE3"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w:t>
      </w:r>
      <w:r w:rsidRPr="00303EBE">
        <w:rPr>
          <w:rFonts w:ascii="Times New Roman" w:eastAsiaTheme="minorEastAsia" w:hAnsi="Times New Roman" w:cs="Times New Roman"/>
          <w:color w:val="000000" w:themeColor="text1"/>
          <w:sz w:val="28"/>
          <w:szCs w:val="28"/>
        </w:rPr>
        <w:lastRenderedPageBreak/>
        <w:t>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994CE3"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994CE3"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994CE3"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994CE3"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994CE3"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994CE3"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994CE3"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994CE3"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994CE3"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994CE3"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994CE3"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994CE3"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994CE3"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994CE3"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994CE3"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994CE3"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994CE3"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994CE3"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994CE3"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994CE3"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994CE3"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994CE3"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994CE3"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994CE3"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994CE3"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994CE3"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lastRenderedPageBreak/>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994CE3"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994CE3"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994CE3"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994CE3"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994CE3"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994CE3"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994CE3"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994CE3"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994CE3"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994CE3"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w:t>
      </w:r>
      <w:r w:rsidR="001667D7" w:rsidRPr="00030233">
        <w:rPr>
          <w:rFonts w:ascii="Times New Roman" w:hAnsi="Times New Roman" w:cs="Times New Roman"/>
          <w:sz w:val="28"/>
        </w:rPr>
        <w:lastRenderedPageBreak/>
        <w:t>рублей</w:t>
      </w:r>
      <w:r w:rsidR="001667D7" w:rsidRPr="008F72D9">
        <w:rPr>
          <w:rFonts w:ascii="Times New Roman" w:hAnsi="Times New Roman" w:cs="Times New Roman"/>
          <w:sz w:val="28"/>
        </w:rPr>
        <w:t>;</w:t>
      </w:r>
    </w:p>
    <w:p w:rsidR="00DF4DF9" w:rsidRDefault="00994CE3"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994CE3"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994CE3"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994CE3"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994CE3"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994CE3"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994CE3"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994CE3"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994CE3"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994CE3"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994CE3"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994CE3"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994CE3"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994CE3"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340C9E"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340C9E">
        <w:rPr>
          <w:color w:val="000000" w:themeColor="text1"/>
          <w:sz w:val="28"/>
          <w:szCs w:val="28"/>
        </w:rPr>
        <w:t>;</w:t>
      </w:r>
    </w:p>
    <w:p w:rsidR="00340C9E" w:rsidRDefault="00340C9E" w:rsidP="00340C9E">
      <w:pPr>
        <w:ind w:firstLine="709"/>
        <w:jc w:val="both"/>
        <w:rPr>
          <w:sz w:val="28"/>
        </w:rPr>
      </w:pPr>
      <w:r w:rsidRPr="007C5121">
        <w:rPr>
          <w:color w:val="CC0099"/>
          <w:sz w:val="28"/>
          <w:szCs w:val="28"/>
        </w:rPr>
        <w:t xml:space="preserve">– </w:t>
      </w:r>
      <w:r w:rsidR="007C5121" w:rsidRPr="007C5121">
        <w:rPr>
          <w:color w:val="CC0099"/>
          <w:sz w:val="28"/>
          <w:szCs w:val="28"/>
        </w:rPr>
        <w:t>медицинская помощь, оказываемая по профилю «Эндокринология</w:t>
      </w:r>
      <w:r w:rsidR="007C5121" w:rsidRPr="007C5121">
        <w:rPr>
          <w:color w:val="CC0099"/>
          <w:sz w:val="28"/>
          <w:szCs w:val="28"/>
        </w:rPr>
        <w:t>»</w:t>
      </w:r>
      <w:r w:rsidR="007C5121">
        <w:rPr>
          <w:sz w:val="28"/>
        </w:rPr>
        <w:t xml:space="preserve"> </w:t>
      </w:r>
      <w:r>
        <w:rPr>
          <w:sz w:val="28"/>
        </w:rPr>
        <w:t xml:space="preserve">(в ред. </w:t>
      </w:r>
      <w:r w:rsidR="007C5121" w:rsidRPr="007C5121">
        <w:rPr>
          <w:i/>
          <w:color w:val="CC0099"/>
          <w:sz w:val="28"/>
        </w:rPr>
        <w:t>Дополнительного соглашения № 7</w:t>
      </w:r>
      <w:r w:rsidRPr="007C5121">
        <w:rPr>
          <w:i/>
          <w:color w:val="CC0099"/>
          <w:sz w:val="28"/>
        </w:rPr>
        <w:t xml:space="preserve"> от </w:t>
      </w:r>
      <w:r w:rsidR="007C5121" w:rsidRPr="007C5121">
        <w:rPr>
          <w:i/>
          <w:color w:val="CC0099"/>
          <w:sz w:val="28"/>
        </w:rPr>
        <w:t>01</w:t>
      </w:r>
      <w:r w:rsidRPr="007C5121">
        <w:rPr>
          <w:i/>
          <w:color w:val="CC0099"/>
          <w:sz w:val="28"/>
        </w:rPr>
        <w:t>.0</w:t>
      </w:r>
      <w:r w:rsidR="007C5121" w:rsidRPr="007C5121">
        <w:rPr>
          <w:i/>
          <w:color w:val="CC0099"/>
          <w:sz w:val="28"/>
        </w:rPr>
        <w:t>9</w:t>
      </w:r>
      <w:r w:rsidRPr="007C5121">
        <w:rPr>
          <w:i/>
          <w:color w:val="CC0099"/>
          <w:sz w:val="28"/>
        </w:rPr>
        <w:t>.2025</w:t>
      </w:r>
      <w:r w:rsidRPr="00EF282C">
        <w:rPr>
          <w:sz w:val="28"/>
        </w:rPr>
        <w:t>)</w:t>
      </w:r>
      <w:r>
        <w:rPr>
          <w:sz w:val="28"/>
        </w:rPr>
        <w:t>.</w:t>
      </w:r>
    </w:p>
    <w:p w:rsidR="00340C9E" w:rsidRDefault="007C5121" w:rsidP="006522E4">
      <w:pPr>
        <w:ind w:firstLine="709"/>
        <w:jc w:val="both"/>
        <w:rPr>
          <w:sz w:val="28"/>
        </w:rPr>
      </w:pPr>
      <w:r w:rsidRPr="007C5121">
        <w:rPr>
          <w:color w:val="CC0099"/>
          <w:sz w:val="28"/>
          <w:szCs w:val="28"/>
        </w:rPr>
        <w:t>абзац исключен</w:t>
      </w:r>
      <w:r w:rsidR="00340C9E" w:rsidRPr="007C5121">
        <w:rPr>
          <w:color w:val="CC0099"/>
          <w:sz w:val="28"/>
        </w:rPr>
        <w:t xml:space="preserve"> </w:t>
      </w:r>
      <w:r w:rsidR="00340C9E">
        <w:rPr>
          <w:sz w:val="28"/>
        </w:rPr>
        <w:t>(</w:t>
      </w:r>
      <w:r>
        <w:rPr>
          <w:sz w:val="28"/>
        </w:rPr>
        <w:t xml:space="preserve">в ред. </w:t>
      </w:r>
      <w:r w:rsidRPr="007C5121">
        <w:rPr>
          <w:i/>
          <w:color w:val="CC0099"/>
          <w:sz w:val="28"/>
        </w:rPr>
        <w:t>Дополнительного соглашения № 7 от 01.09.2025</w:t>
      </w:r>
      <w:r w:rsidR="00340C9E" w:rsidRPr="00EF282C">
        <w:rPr>
          <w:sz w:val="28"/>
        </w:rPr>
        <w:t>)</w:t>
      </w:r>
      <w:r w:rsidR="00340C9E">
        <w:rPr>
          <w:sz w:val="28"/>
        </w:rPr>
        <w:t>.</w:t>
      </w:r>
    </w:p>
    <w:p w:rsidR="007C5121" w:rsidRDefault="007C5121" w:rsidP="007C5121">
      <w:pPr>
        <w:ind w:firstLine="709"/>
        <w:jc w:val="both"/>
        <w:rPr>
          <w:sz w:val="28"/>
        </w:rPr>
      </w:pPr>
      <w:r w:rsidRPr="007C5121">
        <w:rPr>
          <w:color w:val="CC0099"/>
          <w:sz w:val="28"/>
          <w:szCs w:val="28"/>
        </w:rPr>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7C5121" w:rsidRDefault="007C5121" w:rsidP="007C5121">
      <w:pPr>
        <w:ind w:firstLine="709"/>
        <w:jc w:val="both"/>
        <w:rPr>
          <w:sz w:val="28"/>
        </w:rPr>
      </w:pPr>
      <w:r w:rsidRPr="007C5121">
        <w:rPr>
          <w:color w:val="CC0099"/>
          <w:sz w:val="28"/>
          <w:szCs w:val="28"/>
        </w:rPr>
        <w:lastRenderedPageBreak/>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4276A3" w:rsidRPr="004276A3" w:rsidRDefault="004276A3" w:rsidP="004276A3">
      <w:pPr>
        <w:ind w:firstLine="709"/>
        <w:jc w:val="both"/>
        <w:rPr>
          <w:color w:val="CC0099"/>
          <w:sz w:val="28"/>
          <w:szCs w:val="28"/>
        </w:rPr>
      </w:pPr>
      <w:r w:rsidRPr="004276A3">
        <w:rPr>
          <w:color w:val="CC0099"/>
          <w:sz w:val="28"/>
          <w:szCs w:val="28"/>
        </w:rPr>
        <w:t xml:space="preserve">– </w:t>
      </w:r>
      <w:proofErr w:type="spellStart"/>
      <w:r w:rsidRPr="004276A3">
        <w:rPr>
          <w:color w:val="CC0099"/>
          <w:sz w:val="28"/>
          <w:szCs w:val="28"/>
        </w:rPr>
        <w:t>биомикрофотография</w:t>
      </w:r>
      <w:proofErr w:type="spellEnd"/>
      <w:r w:rsidRPr="004276A3">
        <w:rPr>
          <w:color w:val="CC0099"/>
          <w:sz w:val="28"/>
          <w:szCs w:val="28"/>
        </w:rPr>
        <w:t xml:space="preserve"> глазного дна с использованием </w:t>
      </w:r>
      <w:proofErr w:type="spellStart"/>
      <w:r w:rsidRPr="004276A3">
        <w:rPr>
          <w:color w:val="CC0099"/>
          <w:sz w:val="28"/>
          <w:szCs w:val="28"/>
        </w:rPr>
        <w:t>фундус</w:t>
      </w:r>
      <w:proofErr w:type="spellEnd"/>
      <w:r w:rsidRPr="004276A3">
        <w:rPr>
          <w:color w:val="CC0099"/>
          <w:sz w:val="28"/>
          <w:szCs w:val="28"/>
        </w:rPr>
        <w:t>-камеры;</w:t>
      </w:r>
    </w:p>
    <w:p w:rsidR="004276A3" w:rsidRPr="004276A3" w:rsidRDefault="004276A3" w:rsidP="004276A3">
      <w:pPr>
        <w:ind w:firstLine="709"/>
        <w:jc w:val="both"/>
        <w:rPr>
          <w:color w:val="CC0099"/>
          <w:sz w:val="28"/>
          <w:szCs w:val="28"/>
        </w:rPr>
      </w:pPr>
      <w:r w:rsidRPr="004276A3">
        <w:rPr>
          <w:color w:val="CC0099"/>
          <w:sz w:val="28"/>
          <w:szCs w:val="28"/>
        </w:rPr>
        <w:t>–  исследование заднего эпителия роговицы;</w:t>
      </w:r>
    </w:p>
    <w:p w:rsidR="004276A3" w:rsidRPr="004276A3" w:rsidRDefault="004276A3" w:rsidP="004276A3">
      <w:pPr>
        <w:ind w:firstLine="709"/>
        <w:jc w:val="both"/>
        <w:rPr>
          <w:color w:val="CC0099"/>
          <w:sz w:val="28"/>
          <w:szCs w:val="28"/>
        </w:rPr>
      </w:pPr>
      <w:r w:rsidRPr="004276A3">
        <w:rPr>
          <w:color w:val="CC0099"/>
          <w:sz w:val="28"/>
          <w:szCs w:val="28"/>
        </w:rPr>
        <w:t>– оптическое исследование заднего отдела глаза с помощью компьютерного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компьютерная периметрия;</w:t>
      </w:r>
    </w:p>
    <w:p w:rsidR="004276A3" w:rsidRPr="004276A3" w:rsidRDefault="004276A3" w:rsidP="004276A3">
      <w:pPr>
        <w:ind w:firstLine="709"/>
        <w:jc w:val="both"/>
        <w:rPr>
          <w:color w:val="CC0099"/>
          <w:sz w:val="28"/>
          <w:szCs w:val="28"/>
        </w:rPr>
      </w:pPr>
      <w:r w:rsidRPr="004276A3">
        <w:rPr>
          <w:color w:val="CC0099"/>
          <w:sz w:val="28"/>
          <w:szCs w:val="28"/>
        </w:rPr>
        <w:t>– ультразвуковое исследование глазного яблока;</w:t>
      </w:r>
    </w:p>
    <w:p w:rsidR="004276A3" w:rsidRPr="004276A3" w:rsidRDefault="004276A3" w:rsidP="004276A3">
      <w:pPr>
        <w:ind w:firstLine="709"/>
        <w:jc w:val="both"/>
        <w:rPr>
          <w:color w:val="CC0099"/>
          <w:sz w:val="28"/>
          <w:szCs w:val="28"/>
        </w:rPr>
      </w:pPr>
      <w:r w:rsidRPr="004276A3">
        <w:rPr>
          <w:color w:val="CC0099"/>
          <w:sz w:val="28"/>
          <w:szCs w:val="28"/>
        </w:rPr>
        <w:t>– регистрация электрической чувствительности и лабильности зрительного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оптическая биометрия глаза;</w:t>
      </w:r>
    </w:p>
    <w:p w:rsidR="004276A3" w:rsidRPr="004276A3" w:rsidRDefault="004276A3" w:rsidP="004276A3">
      <w:pPr>
        <w:pStyle w:val="a5"/>
        <w:ind w:left="0" w:firstLine="709"/>
        <w:jc w:val="both"/>
        <w:rPr>
          <w:rFonts w:eastAsia="Calibri"/>
          <w:color w:val="CC0099"/>
          <w:sz w:val="28"/>
          <w:szCs w:val="28"/>
          <w:lang w:val="ru-RU"/>
        </w:rPr>
      </w:pPr>
      <w:r w:rsidRPr="004276A3">
        <w:rPr>
          <w:rFonts w:ascii="Times New Roman" w:eastAsia="Times New Roman" w:hAnsi="Times New Roman"/>
          <w:color w:val="CC0099"/>
          <w:sz w:val="28"/>
          <w:szCs w:val="28"/>
          <w:lang w:val="ru-RU" w:eastAsia="ru-RU"/>
        </w:rPr>
        <w:t xml:space="preserve">– </w:t>
      </w:r>
      <w:proofErr w:type="spellStart"/>
      <w:r w:rsidRPr="004276A3">
        <w:rPr>
          <w:rFonts w:ascii="Times New Roman" w:eastAsia="Times New Roman" w:hAnsi="Times New Roman"/>
          <w:color w:val="CC0099"/>
          <w:sz w:val="28"/>
          <w:szCs w:val="28"/>
          <w:lang w:val="ru-RU" w:eastAsia="ru-RU"/>
        </w:rPr>
        <w:t>видеокератотопография</w:t>
      </w:r>
      <w:proofErr w:type="spellEnd"/>
      <w:r w:rsidRPr="004276A3">
        <w:rPr>
          <w:rFonts w:ascii="Times New Roman" w:eastAsia="Times New Roman" w:hAnsi="Times New Roman"/>
          <w:color w:val="CC0099"/>
          <w:sz w:val="28"/>
          <w:szCs w:val="28"/>
          <w:lang w:val="ru-RU" w:eastAsia="ru-RU"/>
        </w:rPr>
        <w:t>;</w:t>
      </w:r>
      <w:r>
        <w:rPr>
          <w:rFonts w:ascii="Times New Roman" w:eastAsia="Times New Roman" w:hAnsi="Times New Roman"/>
          <w:color w:val="CC0099"/>
          <w:sz w:val="28"/>
          <w:szCs w:val="28"/>
          <w:lang w:val="ru-RU" w:eastAsia="ru-RU"/>
        </w:rPr>
        <w:t xml:space="preserve"> </w:t>
      </w:r>
      <w:r w:rsidRPr="004276A3">
        <w:rPr>
          <w:rFonts w:ascii="Times New Roman" w:eastAsia="Times New Roman" w:hAnsi="Times New Roman"/>
          <w:sz w:val="28"/>
          <w:szCs w:val="28"/>
          <w:lang w:val="ru-RU" w:eastAsia="ru-RU"/>
        </w:rPr>
        <w:t xml:space="preserve">(в ред. </w:t>
      </w:r>
      <w:r w:rsidRPr="004276A3">
        <w:rPr>
          <w:rFonts w:ascii="Times New Roman" w:eastAsia="Times New Roman" w:hAnsi="Times New Roman"/>
          <w:i/>
          <w:color w:val="CC0099"/>
          <w:sz w:val="28"/>
          <w:szCs w:val="28"/>
          <w:lang w:val="ru-RU" w:eastAsia="ru-RU"/>
        </w:rPr>
        <w:t>Дополнительного соглашения № 7 от 01.09.2025</w:t>
      </w:r>
      <w:r w:rsidRPr="004276A3">
        <w:rPr>
          <w:rFonts w:ascii="Times New Roman" w:eastAsia="Times New Roman" w:hAnsi="Times New Roman"/>
          <w:sz w:val="28"/>
          <w:szCs w:val="28"/>
          <w:lang w:val="ru-RU" w:eastAsia="ru-RU"/>
        </w:rPr>
        <w:t>).</w:t>
      </w:r>
      <w:bookmarkStart w:id="0" w:name="_GoBack"/>
      <w:bookmarkEnd w:id="0"/>
    </w:p>
    <w:p w:rsidR="00BE7A47" w:rsidRDefault="00BE7A47" w:rsidP="00340C9E">
      <w:pPr>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994CE3"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994CE3"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994CE3"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994CE3"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994CE3"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а также выполнение фельдшерами (в случае отсутствия 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w:t>
      </w:r>
      <w:r w:rsidR="00FD1756">
        <w:rPr>
          <w:sz w:val="28"/>
          <w:szCs w:val="28"/>
        </w:rPr>
        <w:lastRenderedPageBreak/>
        <w:t xml:space="preserve">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4276A3">
        <w:rPr>
          <w:i/>
          <w:color w:val="FF0000"/>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lastRenderedPageBreak/>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994CE3"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994CE3"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994CE3"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994CE3"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994CE3"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994CE3"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994CE3"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994CE3"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w:lastRenderedPageBreak/>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994CE3"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994CE3"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994CE3"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994CE3"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994CE3"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994CE3"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w:lastRenderedPageBreak/>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994CE3"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994CE3"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994CE3"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994CE3"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994CE3"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994CE3"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lastRenderedPageBreak/>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994CE3"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994CE3"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lastRenderedPageBreak/>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994CE3"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994CE3"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994CE3"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994CE3"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994CE3"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994CE3"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994CE3"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994CE3"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w:lastRenderedPageBreak/>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994CE3"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994CE3"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 xml:space="preserve">-медицинской организации, </w:t>
      </w:r>
      <w:r w:rsidR="00F6241E" w:rsidRPr="00C456EE">
        <w:rPr>
          <w:rFonts w:ascii="Times New Roman" w:hAnsi="Times New Roman" w:cs="Times New Roman"/>
          <w:sz w:val="28"/>
          <w:szCs w:val="28"/>
        </w:rPr>
        <w:lastRenderedPageBreak/>
        <w:t>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994CE3"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994CE3"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для медицинской организации, 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994CE3"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994CE3"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994CE3"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994CE3"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 xml:space="preserve">при отсутствии в медицинской организации лаборатории и диагностического </w:t>
      </w:r>
      <w:r w:rsidR="00074AC7">
        <w:rPr>
          <w:rFonts w:eastAsiaTheme="minorHAnsi"/>
          <w:sz w:val="28"/>
          <w:szCs w:val="28"/>
          <w:lang w:eastAsia="en-US"/>
        </w:rPr>
        <w:lastRenderedPageBreak/>
        <w:t>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994CE3"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994CE3"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994CE3"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994CE3"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994CE3"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994CE3"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994CE3"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994CE3"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994CE3"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w:lastRenderedPageBreak/>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994CE3"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994CE3"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994CE3"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994CE3"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994CE3"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994CE3"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994CE3"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994CE3"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994CE3"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994CE3"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994CE3"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994CE3"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994CE3"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lastRenderedPageBreak/>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lastRenderedPageBreak/>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lastRenderedPageBreak/>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w:t>
      </w:r>
      <w:r w:rsidRPr="002B2B6D">
        <w:rPr>
          <w:sz w:val="28"/>
          <w:szCs w:val="20"/>
        </w:rPr>
        <w:lastRenderedPageBreak/>
        <w:t>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994CE3"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994CE3"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C9319F" w:rsidRPr="00C9319F" w:rsidRDefault="00994CE3"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994CE3"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994CE3"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расчета значений показателей результативности деятельности медицинских организаций</w:t>
      </w:r>
      <w:proofErr w:type="gramEnd"/>
      <w:r w:rsidRPr="002B2B6D">
        <w:rPr>
          <w:sz w:val="28"/>
          <w:szCs w:val="20"/>
        </w:rPr>
        <w:t xml:space="preserve">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w:t>
      </w:r>
      <w:r w:rsidRPr="002B2B6D">
        <w:rPr>
          <w:sz w:val="28"/>
          <w:szCs w:val="20"/>
        </w:rPr>
        <w:lastRenderedPageBreak/>
        <w:t xml:space="preserve">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994CE3"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994CE3"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994CE3"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994CE3"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994CE3"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994CE3"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994CE3"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994CE3"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994CE3"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994CE3"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994CE3"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994CE3"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994CE3"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994CE3"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994CE3"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994CE3"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lastRenderedPageBreak/>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994CE3"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994CE3"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994CE3"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994CE3"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CE3" w:rsidRDefault="00994CE3" w:rsidP="00A6157B">
      <w:r>
        <w:separator/>
      </w:r>
    </w:p>
  </w:endnote>
  <w:endnote w:type="continuationSeparator" w:id="0">
    <w:p w:rsidR="00994CE3" w:rsidRDefault="00994CE3"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CE3" w:rsidRDefault="00994CE3" w:rsidP="00A6157B">
      <w:r>
        <w:separator/>
      </w:r>
    </w:p>
  </w:footnote>
  <w:footnote w:type="continuationSeparator" w:id="0">
    <w:p w:rsidR="00994CE3" w:rsidRDefault="00994CE3"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4276A3">
          <w:rPr>
            <w:noProof/>
          </w:rPr>
          <w:t>20</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0C9E"/>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276A3"/>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C5F"/>
    <w:rsid w:val="00477D1F"/>
    <w:rsid w:val="004814CB"/>
    <w:rsid w:val="00482AE9"/>
    <w:rsid w:val="00483C80"/>
    <w:rsid w:val="004871C2"/>
    <w:rsid w:val="0049011D"/>
    <w:rsid w:val="00493A78"/>
    <w:rsid w:val="00493B66"/>
    <w:rsid w:val="00493B71"/>
    <w:rsid w:val="00497BCF"/>
    <w:rsid w:val="004A0A7D"/>
    <w:rsid w:val="004A1AC6"/>
    <w:rsid w:val="004A1B84"/>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C7C55"/>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22E4"/>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5121"/>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0765B"/>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4CE3"/>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45D0"/>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F814B-60C8-484B-875E-D2867FAB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38</Pages>
  <Words>12657</Words>
  <Characters>72147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41</cp:revision>
  <cp:lastPrinted>2025-01-31T05:38:00Z</cp:lastPrinted>
  <dcterms:created xsi:type="dcterms:W3CDTF">2025-01-23T23:05:00Z</dcterms:created>
  <dcterms:modified xsi:type="dcterms:W3CDTF">2025-08-29T04:34:00Z</dcterms:modified>
</cp:coreProperties>
</file>